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43.03.01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Сервис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43.03.01 «Сервис»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43.03.01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Сервис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43.03.01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Сервис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Сервис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577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255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526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389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463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Сервис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19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43.03.01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Сервис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«Сервис»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«Сервис»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94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«Сервис»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94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«Сервис»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Сервис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Сервис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Сервис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19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96%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89%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72%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43.03.01</w:t>
      </w:r>
      <w:r w:rsidRPr="0005698A">
        <w:t xml:space="preserve"> «</w:t>
      </w:r>
      <w:r w:rsidR="00D01874" w:rsidRPr="0005698A">
        <w:rPr>
          <w:noProof/>
        </w:rPr>
        <w:t xml:space="preserve">Сервис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Сервис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Сервис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Сервис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96%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43.03.01 «Сервис»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«Сервис»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